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Allergen-Matrix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2715"/>
        <w:gridCol w:w="2715"/>
        <w:gridCol w:w="2670"/>
        <w:tblGridChange w:id="0">
          <w:tblGrid>
            <w:gridCol w:w="2715"/>
            <w:gridCol w:w="2715"/>
            <w:gridCol w:w="2715"/>
            <w:gridCol w:w="2670"/>
          </w:tblGrid>
        </w:tblGridChange>
      </w:tblGrid>
      <w:tr>
        <w:trPr>
          <w:cantSplit w:val="0"/>
          <w:trHeight w:val="533.898305084745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Produkt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Enthaltene Allergene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Hinweise zur Kreuzkontamination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Verantwortlich für Kennzeichnung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6440677966102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pCby4h3aB7mmUK0imhUNo4ZTg==">CgMxLjA4AHIhMVdrLW52aW0tX3lOdFJqQTVpM24zWjVxaERRYkQzVU1Z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