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Temperaturjournal Kühl- und Lagerräume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Tägliche Dokumentation (mind. 1× pro Tag, besser 2×)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1395"/>
        <w:gridCol w:w="1365"/>
        <w:gridCol w:w="1620"/>
        <w:gridCol w:w="2310"/>
        <w:gridCol w:w="1455"/>
        <w:tblGridChange w:id="0">
          <w:tblGrid>
            <w:gridCol w:w="1260"/>
            <w:gridCol w:w="1395"/>
            <w:gridCol w:w="1365"/>
            <w:gridCol w:w="1620"/>
            <w:gridCol w:w="2310"/>
            <w:gridCol w:w="14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Kühlraum 1 (Soll ≤ +7 °C)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Kühlraum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Tiefkühlung (Soll ≤ −18 °C)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Maßnahmen bei Abweichung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Unterschrift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142857142857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C69Aaa4GXQfh7eS4lfdU3sc45A==">CgMxLjA4AHIhMWZJWWl1a2ZzWTRkZ2puendHbjY5ZjNITmgyT2tZcjM3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