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2"/>
          <w:szCs w:val="32"/>
          <w:rtl w:val="0"/>
        </w:rPr>
        <w:t xml:space="preserve">Temperaturjournal Warmhalten / Kerntemperaturen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Warmhalten: ≥ 60 °C (Empfehlung BfR)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730.0" w:type="dxa"/>
        <w:jc w:val="left"/>
        <w:tblInd w:w="-48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30"/>
        <w:gridCol w:w="2295"/>
        <w:gridCol w:w="885"/>
        <w:gridCol w:w="1140"/>
        <w:gridCol w:w="975"/>
        <w:gridCol w:w="2205"/>
        <w:tblGridChange w:id="0">
          <w:tblGrid>
            <w:gridCol w:w="1230"/>
            <w:gridCol w:w="2295"/>
            <w:gridCol w:w="885"/>
            <w:gridCol w:w="1140"/>
            <w:gridCol w:w="975"/>
            <w:gridCol w:w="22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Datum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Gericht / Produkt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Beginn Warmhalten (°C)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Zwischentemperatur (°C)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Endtemperatur (°C)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Maßnahmen bei &lt; 60 °C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5.4347826086957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JkhBx0+H1lK8dDTjmpgpkAX1rg==">CgMxLjA4AHIhMTlVb3d3bTNjdnNUWkRsQ3pEWXZYWHQwNXFfRUZ4dVBs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